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/>
          <w:b/>
          <w:sz w:val="24"/>
        </w:rPr>
        <w:t>План роботи Експертної ради роботодавців</w:t>
      </w:r>
    </w:p>
    <w:p>
      <w:pPr>
        <w:spacing w:before="0" w:after="0"/>
        <w:jc w:val="center"/>
      </w:pPr>
      <w:r>
        <w:rPr>
          <w:rFonts w:ascii="Times New Roman" w:hAnsi="Times New Roman"/>
          <w:b/>
          <w:sz w:val="24"/>
        </w:rPr>
        <w:t>кафедри міжнародних економічних відносин</w:t>
      </w:r>
    </w:p>
    <w:p>
      <w:pPr>
        <w:spacing w:before="0" w:after="0"/>
        <w:jc w:val="center"/>
      </w:pPr>
      <w:r>
        <w:rPr>
          <w:rFonts w:ascii="Times New Roman" w:hAnsi="Times New Roman"/>
          <w:b/>
          <w:sz w:val="24"/>
        </w:rPr>
        <w:t>Навчально-наукового інституту бізнесу, економіки та менеджменту</w:t>
      </w:r>
    </w:p>
    <w:p>
      <w:pPr>
        <w:spacing w:before="0" w:after="0"/>
        <w:jc w:val="center"/>
      </w:pPr>
      <w:r>
        <w:rPr>
          <w:rFonts w:ascii="Times New Roman" w:hAnsi="Times New Roman"/>
          <w:b/>
          <w:sz w:val="24"/>
        </w:rPr>
        <w:t>Сумського державного університету</w:t>
      </w:r>
    </w:p>
    <w:p>
      <w:pPr>
        <w:spacing w:before="0" w:after="160"/>
        <w:jc w:val="center"/>
      </w:pPr>
      <w:r>
        <w:rPr>
          <w:rFonts w:ascii="Times New Roman" w:hAnsi="Times New Roman"/>
          <w:b/>
          <w:sz w:val="24"/>
        </w:rPr>
        <w:t>на 2025–2026 н. р.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type="dxa" w:w="341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Назва заходу</w:t>
            </w:r>
          </w:p>
        </w:tc>
        <w:tc>
          <w:tcPr>
            <w:tcW w:type="dxa" w:w="341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Термін проведення</w:t>
            </w:r>
          </w:p>
        </w:tc>
      </w:tr>
      <w:tr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2"/>
              </w:rPr>
              <w:t>Залучення членів експертної ради до освітньої роботи зі здобувачами вищої освіти (проведення мотиваційних лекцій, тематичних тренінгів, практикоорієнтованих занять).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вересень–червень</w:t>
            </w:r>
          </w:p>
        </w:tc>
      </w:tr>
      <w:tr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2"/>
              </w:rPr>
              <w:t>Обговорення та узгодження каталогів вибіркових навчальних дисциплін для здобувачів освітніх програм кафедри міжнародних економічних відносин усіх рівнів підготовки.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жовтень 2025 р.</w:t>
            </w:r>
          </w:p>
        </w:tc>
      </w:tr>
      <w:tr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2"/>
              </w:rPr>
              <w:t>Участь членів експертної ради роботодавців в атестації здобувачів ступенів бакалавра та магістра за освітніми програмами кафедри міжнародних економічних відносин.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грудень,</w:t>
              <w:br/>
              <w:t>червень</w:t>
            </w:r>
          </w:p>
        </w:tc>
      </w:tr>
      <w:tr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2"/>
              </w:rPr>
              <w:t>Рецензування членами експертної ради кваліфікаційних робіт бакалаврів та магістрів.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грудень,</w:t>
              <w:br/>
              <w:t>червень</w:t>
            </w:r>
          </w:p>
        </w:tc>
      </w:tr>
      <w:tr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2"/>
              </w:rPr>
              <w:t>Аналіз результатів проходження виробничої практики бакалаврів та переддипломної практики магістрів. Аналіз виконання кваліфікаційних робіт бакалаврів та магістрів. Розробка та укладання плану роботи Експертної ради роботодавців на 2026/2027 навчальний рік.</w:t>
            </w:r>
          </w:p>
        </w:tc>
        <w:tc>
          <w:tcPr>
            <w:tcW w:type="dxa" w:w="341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2"/>
              </w:rPr>
              <w:t>червень 2026 р.</w:t>
            </w:r>
          </w:p>
        </w:tc>
      </w:tr>
    </w:tbl>
    <w:p>
      <w:pPr>
        <w:spacing w:after="0" w:line="240" w:lineRule="auto"/>
      </w:pPr>
      <w:r>
        <w:rPr>
          <w:rFonts w:ascii="Times New Roman" w:hAnsi="Times New Roman"/>
          <w:sz w:val="24"/>
        </w:rPr>
        <w:br/>
        <w:t>Голова Експертної ради роботодавців                              Ірина МЕРКУН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